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6363D24A"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BF61F4">
        <w:rPr>
          <w:rFonts w:ascii="Arial" w:hAnsi="Arial"/>
          <w:b/>
          <w:sz w:val="24"/>
          <w:szCs w:val="24"/>
        </w:rPr>
        <w:t>3</w:t>
      </w:r>
      <w:r w:rsidRPr="00B64708">
        <w:rPr>
          <w:rFonts w:ascii="Arial" w:hAnsi="Arial"/>
          <w:b/>
          <w:i/>
          <w:noProof/>
          <w:sz w:val="24"/>
          <w:szCs w:val="24"/>
        </w:rPr>
        <w:tab/>
      </w:r>
      <w:r w:rsidRPr="00A164B5">
        <w:rPr>
          <w:rFonts w:ascii="Arial" w:hAnsi="Arial"/>
          <w:b/>
          <w:sz w:val="24"/>
          <w:szCs w:val="24"/>
        </w:rPr>
        <w:t>R4-24</w:t>
      </w:r>
      <w:r w:rsidR="001F5E35" w:rsidRPr="00A164B5">
        <w:rPr>
          <w:rFonts w:ascii="Arial" w:hAnsi="Arial"/>
          <w:b/>
          <w:sz w:val="24"/>
          <w:szCs w:val="24"/>
        </w:rPr>
        <w:t>1</w:t>
      </w:r>
      <w:r w:rsidR="00D07854">
        <w:rPr>
          <w:rFonts w:ascii="Arial" w:hAnsi="Arial"/>
          <w:b/>
          <w:sz w:val="24"/>
          <w:szCs w:val="24"/>
        </w:rPr>
        <w:t>9534</w:t>
      </w:r>
    </w:p>
    <w:p w14:paraId="5D43EEDF" w14:textId="6AB471CE" w:rsidR="00BD0D23" w:rsidRPr="00B64708" w:rsidRDefault="009E6330" w:rsidP="00BD0D23">
      <w:pPr>
        <w:spacing w:after="120"/>
        <w:outlineLvl w:val="0"/>
        <w:rPr>
          <w:rFonts w:ascii="Arial" w:hAnsi="Arial"/>
          <w:b/>
          <w:bCs/>
          <w:noProof/>
          <w:sz w:val="32"/>
          <w:szCs w:val="24"/>
        </w:rPr>
      </w:pPr>
      <w:r>
        <w:rPr>
          <w:rFonts w:ascii="Arial" w:hAnsi="Arial"/>
          <w:b/>
          <w:bCs/>
          <w:sz w:val="24"/>
          <w:szCs w:val="24"/>
        </w:rPr>
        <w:t>Orlando</w:t>
      </w:r>
      <w:r w:rsidR="00BD0D23" w:rsidRPr="00151594">
        <w:rPr>
          <w:rFonts w:ascii="Arial" w:hAnsi="Arial"/>
          <w:b/>
          <w:bCs/>
          <w:sz w:val="24"/>
          <w:szCs w:val="24"/>
        </w:rPr>
        <w:t xml:space="preserve">, </w:t>
      </w:r>
      <w:r>
        <w:rPr>
          <w:rFonts w:ascii="Arial" w:hAnsi="Arial"/>
          <w:b/>
          <w:bCs/>
          <w:sz w:val="24"/>
          <w:szCs w:val="24"/>
        </w:rPr>
        <w:t>United States</w:t>
      </w:r>
      <w:r w:rsidR="00BD0D23" w:rsidRPr="00151594">
        <w:rPr>
          <w:rFonts w:ascii="Arial" w:hAnsi="Arial"/>
          <w:b/>
          <w:bCs/>
          <w:sz w:val="24"/>
          <w:szCs w:val="24"/>
        </w:rPr>
        <w:t xml:space="preserve">, </w:t>
      </w:r>
      <w:r>
        <w:rPr>
          <w:rFonts w:ascii="Arial" w:hAnsi="Arial"/>
          <w:b/>
          <w:bCs/>
          <w:sz w:val="24"/>
          <w:szCs w:val="24"/>
        </w:rPr>
        <w:t>18</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22</w:t>
      </w:r>
      <w:r w:rsidR="00BD0D23" w:rsidRPr="00B64708">
        <w:rPr>
          <w:rFonts w:ascii="Arial" w:hAnsi="Arial"/>
          <w:b/>
          <w:bCs/>
          <w:sz w:val="24"/>
          <w:szCs w:val="24"/>
        </w:rPr>
        <w:t xml:space="preserve"> </w:t>
      </w:r>
      <w:r>
        <w:rPr>
          <w:rFonts w:ascii="Arial" w:hAnsi="Arial"/>
          <w:b/>
          <w:bCs/>
          <w:sz w:val="24"/>
          <w:szCs w:val="24"/>
        </w:rPr>
        <w:t>November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63012A1"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07854">
        <w:rPr>
          <w:rFonts w:ascii="Arial" w:hAnsi="Arial" w:cs="Arial"/>
          <w:sz w:val="24"/>
          <w:szCs w:val="22"/>
        </w:rPr>
        <w:t>5.2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00A592A"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7D0B38">
        <w:rPr>
          <w:rFonts w:ascii="Arial" w:hAnsi="Arial" w:cs="Arial"/>
          <w:sz w:val="24"/>
          <w:lang w:val="en-US" w:eastAsia="ja-JP"/>
        </w:rPr>
        <w:t>On completing band 254 requirements</w:t>
      </w:r>
    </w:p>
    <w:p w14:paraId="677D9182" w14:textId="165AAF6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AD0548">
        <w:rPr>
          <w:rFonts w:ascii="Arial" w:hAnsi="Arial" w:cs="Arial"/>
          <w:sz w:val="24"/>
          <w:lang w:eastAsia="ja-JP"/>
        </w:rPr>
        <w:t>Discussion</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3634C770" w:rsidR="00284627" w:rsidRDefault="007D0B38" w:rsidP="00833CE7">
      <w:pPr>
        <w:spacing w:after="120"/>
        <w:jc w:val="both"/>
        <w:rPr>
          <w:lang w:eastAsia="ja-JP"/>
        </w:rPr>
      </w:pPr>
      <w:r>
        <w:t>Band 254, also known as LS-band, was</w:t>
      </w:r>
      <w:r w:rsidR="005A7942">
        <w:t xml:space="preserve"> introduced in rel-18 and RAN4 RF work was closed in December 2023. The specification still has some TBD, and CRs were brought in previous </w:t>
      </w:r>
      <w:r w:rsidR="00BF6AF2">
        <w:t>meeting to address the TBDs. This contribution discussed the missing requirements and how to complete the requirements.</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5651315" w14:textId="406F9E0A" w:rsidR="00BF6AF2" w:rsidRDefault="00C845FE" w:rsidP="00BF6AF2">
      <w:pPr>
        <w:spacing w:after="120"/>
        <w:rPr>
          <w:b/>
        </w:rPr>
      </w:pPr>
      <w:r>
        <w:rPr>
          <w:bCs/>
        </w:rPr>
        <w:t xml:space="preserve">When the </w:t>
      </w:r>
      <w:r w:rsidR="00AE7213">
        <w:rPr>
          <w:bCs/>
        </w:rPr>
        <w:t>RF core work for IoT NTN LS-band was recommended to be closed, a WF was agreed at the same meeting</w:t>
      </w:r>
      <w:r w:rsidR="00110C6D">
        <w:rPr>
          <w:bCs/>
        </w:rPr>
        <w:t xml:space="preserve"> [1]</w:t>
      </w:r>
    </w:p>
    <w:p w14:paraId="090B4BD2" w14:textId="594BF800" w:rsidR="00E82042" w:rsidRPr="0031163F" w:rsidRDefault="00BF2E6D" w:rsidP="00445E27">
      <w:pPr>
        <w:spacing w:after="120"/>
        <w:rPr>
          <w:b/>
        </w:rPr>
      </w:pPr>
      <w:r>
        <w:rPr>
          <w:b/>
        </w:rPr>
        <w:t xml:space="preserve"> </w:t>
      </w:r>
      <w:r w:rsidRPr="0031163F">
        <w:rPr>
          <w:b/>
        </w:rPr>
        <w:t xml:space="preserve"> </w:t>
      </w:r>
      <w:r w:rsidR="00E32F2F" w:rsidRPr="00E32F2F">
        <w:rPr>
          <w:b/>
          <w:noProof/>
        </w:rPr>
        <w:drawing>
          <wp:inline distT="0" distB="0" distL="0" distR="0" wp14:anchorId="5275F0A4" wp14:editId="1CBD9D5C">
            <wp:extent cx="6120765" cy="3379470"/>
            <wp:effectExtent l="133350" t="114300" r="127635" b="163830"/>
            <wp:docPr id="4876859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685915" name="Picture 1" descr="A screenshot of a computer&#10;&#10;Description automatically generated"/>
                    <pic:cNvPicPr/>
                  </pic:nvPicPr>
                  <pic:blipFill>
                    <a:blip r:embed="rId7"/>
                    <a:stretch>
                      <a:fillRect/>
                    </a:stretch>
                  </pic:blipFill>
                  <pic:spPr>
                    <a:xfrm>
                      <a:off x="0" y="0"/>
                      <a:ext cx="6120765" cy="33794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8C92E8D" w14:textId="32405E05" w:rsidR="00791877" w:rsidRDefault="00E32F2F" w:rsidP="00445E27">
      <w:pPr>
        <w:spacing w:after="120"/>
        <w:rPr>
          <w:bCs/>
        </w:rPr>
      </w:pPr>
      <w:r>
        <w:rPr>
          <w:bCs/>
        </w:rPr>
        <w:t xml:space="preserve">It can be seen that leaving </w:t>
      </w:r>
      <w:r w:rsidR="001413F8">
        <w:rPr>
          <w:bCs/>
        </w:rPr>
        <w:t xml:space="preserve">A-MPR as TBD has been intentional. This explains why there has not been many A-MPR evaluations available. </w:t>
      </w:r>
    </w:p>
    <w:p w14:paraId="04905F40" w14:textId="77777777" w:rsidR="00A76CAB" w:rsidRDefault="001413F8" w:rsidP="00445E27">
      <w:pPr>
        <w:spacing w:after="120"/>
        <w:rPr>
          <w:bCs/>
        </w:rPr>
      </w:pPr>
      <w:r>
        <w:rPr>
          <w:bCs/>
        </w:rPr>
        <w:t xml:space="preserve">At the same time, </w:t>
      </w:r>
      <w:r w:rsidR="00B44983">
        <w:rPr>
          <w:bCs/>
        </w:rPr>
        <w:t xml:space="preserve">getting feedback from ETSI has taken longer than expected, and 3GPP should </w:t>
      </w:r>
      <w:r w:rsidR="00886866">
        <w:rPr>
          <w:bCs/>
        </w:rPr>
        <w:t>start addressing the missing ETSI requirements, both in LS-band as well as in other NTN bands.</w:t>
      </w:r>
      <w:r w:rsidR="004857DF">
        <w:rPr>
          <w:bCs/>
        </w:rPr>
        <w:t xml:space="preserve"> </w:t>
      </w:r>
    </w:p>
    <w:p w14:paraId="0E1014FA" w14:textId="3BD75919" w:rsidR="001413F8" w:rsidRDefault="00A76CAB" w:rsidP="00445E27">
      <w:pPr>
        <w:spacing w:after="120"/>
        <w:rPr>
          <w:bCs/>
        </w:rPr>
      </w:pPr>
      <w:r>
        <w:rPr>
          <w:bCs/>
        </w:rPr>
        <w:t xml:space="preserve">The ETSI requirements are in some cases more stringent than 3GPP general requirements, and UE may need accommodations like A-MPR or </w:t>
      </w:r>
      <w:r w:rsidR="004C3EA4">
        <w:rPr>
          <w:bCs/>
        </w:rPr>
        <w:t xml:space="preserve">guard band to meet them. Potential incompliant UE </w:t>
      </w:r>
      <w:r w:rsidR="003D397A">
        <w:rPr>
          <w:bCs/>
        </w:rPr>
        <w:t xml:space="preserve">populations gets larger and larger the longer 3GPP waits. Therefore, it would be better to add relevant requirements to 3GPP now, and if necessary </w:t>
      </w:r>
      <w:r w:rsidR="003D397A">
        <w:rPr>
          <w:bCs/>
        </w:rPr>
        <w:lastRenderedPageBreak/>
        <w:t xml:space="preserve">remove them later if </w:t>
      </w:r>
      <w:r w:rsidR="00037575">
        <w:rPr>
          <w:bCs/>
        </w:rPr>
        <w:t>ETSI in the end does not capture those requirements for the harmonized standards addressing 3GPP NTN operation.</w:t>
      </w:r>
    </w:p>
    <w:p w14:paraId="78B946DB" w14:textId="353D4316" w:rsidR="00886866" w:rsidRDefault="00886866" w:rsidP="00445E27">
      <w:pPr>
        <w:spacing w:after="120"/>
        <w:rPr>
          <w:b/>
        </w:rPr>
      </w:pPr>
      <w:r w:rsidRPr="00886866">
        <w:rPr>
          <w:b/>
        </w:rPr>
        <w:t>Observation 1:</w:t>
      </w:r>
      <w:r>
        <w:rPr>
          <w:b/>
        </w:rPr>
        <w:t xml:space="preserve"> Leaving TBDs </w:t>
      </w:r>
      <w:r w:rsidR="004857DF">
        <w:rPr>
          <w:b/>
        </w:rPr>
        <w:t xml:space="preserve">for the NS_04N and NS_05N has been intentional. </w:t>
      </w:r>
    </w:p>
    <w:p w14:paraId="47E75904" w14:textId="3E5F213F" w:rsidR="00037575" w:rsidRDefault="00037575" w:rsidP="00445E27">
      <w:pPr>
        <w:spacing w:after="120"/>
        <w:rPr>
          <w:b/>
        </w:rPr>
      </w:pPr>
      <w:r>
        <w:rPr>
          <w:b/>
        </w:rPr>
        <w:t xml:space="preserve">Proposal 1: 3GPP to start </w:t>
      </w:r>
      <w:r w:rsidR="00C571B1">
        <w:rPr>
          <w:b/>
        </w:rPr>
        <w:t>incorporating ETSI requirements for all NTN bands. In case ETSI does not in the end include these requirements to harmonized standard, they can be removed.</w:t>
      </w:r>
    </w:p>
    <w:p w14:paraId="403D8752" w14:textId="13E8C702" w:rsidR="00C571B1" w:rsidRDefault="009B33D8" w:rsidP="00445E27">
      <w:pPr>
        <w:spacing w:after="120"/>
        <w:rPr>
          <w:bCs/>
        </w:rPr>
      </w:pPr>
      <w:r>
        <w:rPr>
          <w:bCs/>
        </w:rPr>
        <w:t>EN 301 441 is the currently applicable harmonized standard for operation in LS-band.</w:t>
      </w:r>
      <w:r w:rsidR="00050629">
        <w:rPr>
          <w:bCs/>
        </w:rPr>
        <w:t xml:space="preserve"> In reviewing the document, we found that the EIRP density requirement is not captured for IoT NTN, even though it is specified for NR NTN.</w:t>
      </w:r>
      <w:r w:rsidR="003354F3">
        <w:rPr>
          <w:bCs/>
        </w:rPr>
        <w:t xml:space="preserve"> It could be necessary to introduce the requirement also for IoT NTN</w:t>
      </w:r>
      <w:r w:rsidR="008B3038">
        <w:rPr>
          <w:bCs/>
        </w:rPr>
        <w:t>. The screenshot below is from TS 38.101-5</w:t>
      </w:r>
    </w:p>
    <w:p w14:paraId="48DBFE2D" w14:textId="0869886C" w:rsidR="00083CE4" w:rsidRDefault="00ED2B84" w:rsidP="00445E27">
      <w:pPr>
        <w:spacing w:after="120"/>
        <w:rPr>
          <w:bCs/>
        </w:rPr>
      </w:pPr>
      <w:r w:rsidRPr="00ED2B84">
        <w:rPr>
          <w:bCs/>
          <w:noProof/>
        </w:rPr>
        <w:drawing>
          <wp:inline distT="0" distB="0" distL="0" distR="0" wp14:anchorId="53A35ECA" wp14:editId="02F4012D">
            <wp:extent cx="6120765" cy="1750060"/>
            <wp:effectExtent l="133350" t="114300" r="127635" b="173990"/>
            <wp:docPr id="1895633792" name="Picture 1" descr="A close-up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633792" name="Picture 1" descr="A close-up of a table&#10;&#10;Description automatically generated"/>
                    <pic:cNvPicPr/>
                  </pic:nvPicPr>
                  <pic:blipFill>
                    <a:blip r:embed="rId8"/>
                    <a:stretch>
                      <a:fillRect/>
                    </a:stretch>
                  </pic:blipFill>
                  <pic:spPr>
                    <a:xfrm>
                      <a:off x="0" y="0"/>
                      <a:ext cx="6120765" cy="17500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117F75A8" w14:textId="3319314C" w:rsidR="005E45AA" w:rsidRPr="005E45AA" w:rsidRDefault="005E45AA" w:rsidP="005E45AA">
      <w:pPr>
        <w:spacing w:after="120"/>
        <w:jc w:val="center"/>
        <w:rPr>
          <w:b/>
        </w:rPr>
      </w:pPr>
      <w:r w:rsidRPr="005E45AA">
        <w:rPr>
          <w:b/>
        </w:rPr>
        <w:t>Figure 1:</w:t>
      </w:r>
      <w:r>
        <w:rPr>
          <w:b/>
        </w:rPr>
        <w:t xml:space="preserve"> Power density requirement in TS 38.101-5</w:t>
      </w:r>
    </w:p>
    <w:p w14:paraId="4E3046B6" w14:textId="145CC7C2" w:rsidR="003354F3" w:rsidRDefault="00ED2B84" w:rsidP="00445E27">
      <w:pPr>
        <w:spacing w:after="120"/>
        <w:rPr>
          <w:bCs/>
        </w:rPr>
      </w:pPr>
      <w:r>
        <w:rPr>
          <w:bCs/>
        </w:rPr>
        <w:t xml:space="preserve">Some discussion </w:t>
      </w:r>
      <w:r w:rsidR="00AA43ED">
        <w:rPr>
          <w:bCs/>
        </w:rPr>
        <w:t xml:space="preserve">may be </w:t>
      </w:r>
      <w:r>
        <w:rPr>
          <w:bCs/>
        </w:rPr>
        <w:t xml:space="preserve">needed on how to interpret the requirement, as it sets 15dBm/4 kHz peak limit. For NB-IoT this could be interpreted as 3.75 kHz single tone cannot be transmitted </w:t>
      </w:r>
      <w:r w:rsidR="00B948E5">
        <w:rPr>
          <w:bCs/>
        </w:rPr>
        <w:t>at higher than 15 dBm power level. Even for single 15 kHz tone the power limitation would be significant.</w:t>
      </w:r>
      <w:r w:rsidR="009742C4">
        <w:rPr>
          <w:bCs/>
        </w:rPr>
        <w:t xml:space="preserve"> This means that in some cases A-MPR may not be needed if the maximum transmission power is limited to 15 dBm by the </w:t>
      </w:r>
      <w:r w:rsidR="000D246E">
        <w:rPr>
          <w:bCs/>
        </w:rPr>
        <w:t>power density requirement.</w:t>
      </w:r>
    </w:p>
    <w:p w14:paraId="0F417081" w14:textId="36A8D9E8" w:rsidR="00B948E5" w:rsidRPr="00B948E5" w:rsidRDefault="00B948E5" w:rsidP="00445E27">
      <w:pPr>
        <w:spacing w:after="120"/>
        <w:rPr>
          <w:b/>
        </w:rPr>
      </w:pPr>
      <w:r w:rsidRPr="00B948E5">
        <w:rPr>
          <w:b/>
        </w:rPr>
        <w:t>Proposal 2:</w:t>
      </w:r>
      <w:r>
        <w:rPr>
          <w:b/>
        </w:rPr>
        <w:t xml:space="preserve"> Consider introducing the transmit power density requirement</w:t>
      </w:r>
      <w:r w:rsidR="00647610">
        <w:rPr>
          <w:b/>
        </w:rPr>
        <w:t xml:space="preserve"> from EN 301 441</w:t>
      </w:r>
      <w:r>
        <w:rPr>
          <w:b/>
        </w:rPr>
        <w:t xml:space="preserve"> for band 254. </w:t>
      </w:r>
      <w:r w:rsidR="00977E35">
        <w:rPr>
          <w:b/>
        </w:rPr>
        <w:t xml:space="preserve">Further clarify relationship between A-MPR and </w:t>
      </w:r>
      <w:r w:rsidR="009742C4">
        <w:rPr>
          <w:b/>
        </w:rPr>
        <w:t>this power density requirement.</w:t>
      </w:r>
    </w:p>
    <w:p w14:paraId="44F12278" w14:textId="70C8E4B3" w:rsidR="00C571B1" w:rsidRDefault="00CA3A87" w:rsidP="00445E27">
      <w:pPr>
        <w:spacing w:after="120"/>
        <w:rPr>
          <w:bCs/>
        </w:rPr>
      </w:pPr>
      <w:r w:rsidRPr="00CA3A87">
        <w:rPr>
          <w:bCs/>
        </w:rPr>
        <w:t>Then</w:t>
      </w:r>
      <w:r>
        <w:rPr>
          <w:bCs/>
        </w:rPr>
        <w:t xml:space="preserve"> on the NS_04N and NS_05N A-MPR</w:t>
      </w:r>
      <w:r w:rsidR="0062006B">
        <w:rPr>
          <w:bCs/>
        </w:rPr>
        <w:t>. Initial proposal for A-MPR was made in [2] and [3]</w:t>
      </w:r>
      <w:r w:rsidR="00CF2C81">
        <w:rPr>
          <w:bCs/>
        </w:rPr>
        <w:t>. Firstly, it can be noted that the proposed A-MPR does not seem to take into account results provided in [4]</w:t>
      </w:r>
      <w:r w:rsidR="005E45AA">
        <w:rPr>
          <w:bCs/>
        </w:rPr>
        <w:t xml:space="preserve">. </w:t>
      </w:r>
      <w:r w:rsidR="003B7376">
        <w:rPr>
          <w:bCs/>
        </w:rPr>
        <w:t xml:space="preserve">Figures 2 and 3 are taken from [4] and show clear </w:t>
      </w:r>
      <w:r w:rsidR="002E6488">
        <w:rPr>
          <w:bCs/>
        </w:rPr>
        <w:t>A-MPR need for single tone as well as full 12-tone allocation.</w:t>
      </w:r>
    </w:p>
    <w:p w14:paraId="46522136" w14:textId="77777777" w:rsidR="00182071" w:rsidRPr="00CA3A87" w:rsidRDefault="00182071" w:rsidP="00445E27">
      <w:pPr>
        <w:spacing w:after="120"/>
        <w:rPr>
          <w:bCs/>
        </w:rPr>
      </w:pPr>
    </w:p>
    <w:p w14:paraId="0FDDB5AB" w14:textId="159CB7B2" w:rsidR="00C571B1" w:rsidRDefault="0009015F" w:rsidP="0009015F">
      <w:pPr>
        <w:spacing w:after="120"/>
        <w:jc w:val="center"/>
        <w:rPr>
          <w:b/>
        </w:rPr>
      </w:pPr>
      <w:r w:rsidRPr="00003489">
        <w:rPr>
          <w:noProof/>
        </w:rPr>
        <w:drawing>
          <wp:inline distT="0" distB="0" distL="0" distR="0" wp14:anchorId="383FDCDD" wp14:editId="31A355DC">
            <wp:extent cx="4682735" cy="2818660"/>
            <wp:effectExtent l="0" t="0" r="3810" b="1270"/>
            <wp:docPr id="2050" name="Picture 16" descr="A graph of a graph showing different types of signals&#10;&#10;Description automatically generated with medium confidence">
              <a:extLst xmlns:a="http://schemas.openxmlformats.org/drawingml/2006/main">
                <a:ext uri="{FF2B5EF4-FFF2-40B4-BE49-F238E27FC236}">
                  <a16:creationId xmlns:a16="http://schemas.microsoft.com/office/drawing/2014/main" id="{A12542AE-B065-55FB-7C8C-853D341A5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16" descr="A graph of a graph showing different types of signals&#10;&#10;Description automatically generated with medium confidence">
                      <a:extLst>
                        <a:ext uri="{FF2B5EF4-FFF2-40B4-BE49-F238E27FC236}">
                          <a16:creationId xmlns:a16="http://schemas.microsoft.com/office/drawing/2014/main" id="{A12542AE-B065-55FB-7C8C-853D341A537D}"/>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7961" cy="2821806"/>
                    </a:xfrm>
                    <a:prstGeom prst="rect">
                      <a:avLst/>
                    </a:prstGeom>
                    <a:noFill/>
                    <a:ln>
                      <a:noFill/>
                    </a:ln>
                  </pic:spPr>
                </pic:pic>
              </a:graphicData>
            </a:graphic>
          </wp:inline>
        </w:drawing>
      </w:r>
    </w:p>
    <w:p w14:paraId="214FDF1E" w14:textId="27D1597D" w:rsidR="0009015F" w:rsidRDefault="0009015F" w:rsidP="0009015F">
      <w:pPr>
        <w:spacing w:after="120"/>
        <w:jc w:val="center"/>
        <w:rPr>
          <w:b/>
        </w:rPr>
      </w:pPr>
      <w:r>
        <w:rPr>
          <w:b/>
        </w:rPr>
        <w:t>Figure 2: Single tone results in [4]</w:t>
      </w:r>
    </w:p>
    <w:p w14:paraId="5E936CFD" w14:textId="2A55C622" w:rsidR="0009015F" w:rsidRDefault="00D71285" w:rsidP="0009015F">
      <w:pPr>
        <w:spacing w:after="120"/>
        <w:jc w:val="center"/>
        <w:rPr>
          <w:b/>
        </w:rPr>
      </w:pPr>
      <w:r>
        <w:rPr>
          <w:noProof/>
        </w:rPr>
        <w:lastRenderedPageBreak/>
        <w:drawing>
          <wp:inline distT="0" distB="0" distL="0" distR="0" wp14:anchorId="379EC691" wp14:editId="0D6CF3B0">
            <wp:extent cx="4680000" cy="2910530"/>
            <wp:effectExtent l="0" t="0" r="6350" b="4445"/>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80000" cy="2910530"/>
                    </a:xfrm>
                    <a:prstGeom prst="rect">
                      <a:avLst/>
                    </a:prstGeom>
                    <a:noFill/>
                    <a:ln>
                      <a:noFill/>
                    </a:ln>
                  </pic:spPr>
                </pic:pic>
              </a:graphicData>
            </a:graphic>
          </wp:inline>
        </w:drawing>
      </w:r>
    </w:p>
    <w:p w14:paraId="58F0B65F" w14:textId="48108020" w:rsidR="004857DF" w:rsidRDefault="00D71285" w:rsidP="00D71285">
      <w:pPr>
        <w:spacing w:after="120"/>
        <w:jc w:val="center"/>
        <w:rPr>
          <w:b/>
        </w:rPr>
      </w:pPr>
      <w:r>
        <w:rPr>
          <w:b/>
        </w:rPr>
        <w:t>Figure 3: 12-tone results in [4]</w:t>
      </w:r>
    </w:p>
    <w:p w14:paraId="51F01E1C" w14:textId="77777777" w:rsidR="00B06D31" w:rsidRDefault="00B06D31" w:rsidP="00D71285">
      <w:pPr>
        <w:spacing w:after="120"/>
        <w:jc w:val="center"/>
        <w:rPr>
          <w:b/>
        </w:rPr>
      </w:pPr>
    </w:p>
    <w:p w14:paraId="7688E530" w14:textId="5E7B2421" w:rsidR="00B06D31" w:rsidRDefault="00EC09C9" w:rsidP="00B06D31">
      <w:pPr>
        <w:spacing w:after="120"/>
        <w:rPr>
          <w:b/>
        </w:rPr>
      </w:pPr>
      <w:r>
        <w:rPr>
          <w:b/>
        </w:rPr>
        <w:t>Observation 2: A-MPR proposals in [2] and [3] do not consider results provided in [4]</w:t>
      </w:r>
    </w:p>
    <w:p w14:paraId="663D82E7" w14:textId="5FB73006" w:rsidR="00A92138" w:rsidRDefault="00C358FB" w:rsidP="00B06D31">
      <w:pPr>
        <w:spacing w:after="120"/>
        <w:rPr>
          <w:bCs/>
        </w:rPr>
      </w:pPr>
      <w:r>
        <w:rPr>
          <w:bCs/>
        </w:rPr>
        <w:t xml:space="preserve">So far we did not find any results for 3.75 kHz single-tone transmission. It might be even worse than 15 kHz single-tone, as all power is concentrated closer to the </w:t>
      </w:r>
      <w:r w:rsidR="006107E4">
        <w:rPr>
          <w:bCs/>
        </w:rPr>
        <w:t>channel edge.</w:t>
      </w:r>
    </w:p>
    <w:p w14:paraId="2EB442C8" w14:textId="3B465757" w:rsidR="006107E4" w:rsidRPr="006107E4" w:rsidRDefault="006107E4" w:rsidP="00B06D31">
      <w:pPr>
        <w:spacing w:after="120"/>
        <w:rPr>
          <w:b/>
        </w:rPr>
      </w:pPr>
      <w:r w:rsidRPr="006107E4">
        <w:rPr>
          <w:b/>
        </w:rPr>
        <w:t>Observation 3: Evaluations for 3.75 kHz single-tone transmission have not been done.</w:t>
      </w:r>
    </w:p>
    <w:p w14:paraId="0288E5FA" w14:textId="3ACEC57C" w:rsidR="00F05A4F" w:rsidRDefault="00A92138" w:rsidP="00B06D31">
      <w:pPr>
        <w:spacing w:after="120"/>
        <w:rPr>
          <w:bCs/>
        </w:rPr>
      </w:pPr>
      <w:r>
        <w:rPr>
          <w:bCs/>
        </w:rPr>
        <w:t>We also did initial evaluations on this case</w:t>
      </w:r>
      <w:r w:rsidR="00A74DC5">
        <w:rPr>
          <w:bCs/>
        </w:rPr>
        <w:t xml:space="preserve"> with 15 kHz SCS</w:t>
      </w:r>
      <w:r w:rsidR="00271022">
        <w:rPr>
          <w:bCs/>
        </w:rPr>
        <w:t>, and found that our results are closer to [4], indicating significant backoff need</w:t>
      </w:r>
      <w:r w:rsidR="008946C0">
        <w:rPr>
          <w:bCs/>
        </w:rPr>
        <w:t xml:space="preserve">. For example for NS_04 </w:t>
      </w:r>
      <w:r w:rsidR="0076526D">
        <w:rPr>
          <w:bCs/>
        </w:rPr>
        <w:t>in-band mask</w:t>
      </w:r>
      <w:r w:rsidR="003B07AB">
        <w:rPr>
          <w:bCs/>
        </w:rPr>
        <w:t xml:space="preserve"> at -2 dBm/30 kHz immediately outside the channel edge, approximately 7 dB backoff was observed. </w:t>
      </w:r>
      <w:r w:rsidR="00F05A4F">
        <w:rPr>
          <w:bCs/>
        </w:rPr>
        <w:t xml:space="preserve">Also for a single tone at the edge, situation was the same, showing approximately 7 dB backoff. </w:t>
      </w:r>
      <w:r w:rsidR="00F67D7F">
        <w:rPr>
          <w:bCs/>
        </w:rPr>
        <w:t>For full 12-tone allocation</w:t>
      </w:r>
      <w:r w:rsidR="00BF0A5F">
        <w:rPr>
          <w:bCs/>
        </w:rPr>
        <w:t xml:space="preserve"> however </w:t>
      </w:r>
      <w:r w:rsidR="002C6C86">
        <w:rPr>
          <w:bCs/>
        </w:rPr>
        <w:t xml:space="preserve">needed A-MPR was approximately 2 </w:t>
      </w:r>
      <w:proofErr w:type="spellStart"/>
      <w:r w:rsidR="002C6C86">
        <w:rPr>
          <w:bCs/>
        </w:rPr>
        <w:t>dB.</w:t>
      </w:r>
      <w:proofErr w:type="spellEnd"/>
    </w:p>
    <w:p w14:paraId="1FE1D5DB" w14:textId="44F0DAA2" w:rsidR="002C6C86" w:rsidRDefault="008F5A4F" w:rsidP="00B06D31">
      <w:pPr>
        <w:spacing w:after="120"/>
        <w:rPr>
          <w:bCs/>
        </w:rPr>
      </w:pPr>
      <w:r>
        <w:rPr>
          <w:bCs/>
        </w:rPr>
        <w:t>Given that there are large differences between the results i</w:t>
      </w:r>
      <w:r w:rsidR="0089653C">
        <w:rPr>
          <w:bCs/>
        </w:rPr>
        <w:t xml:space="preserve">t would be useful to more investigate what is the cause for the difference. We identified at least two potential causes. Firstly, there has not been any commonly agreed set of used assumptions for </w:t>
      </w:r>
      <w:r w:rsidR="00336A4C">
        <w:rPr>
          <w:bCs/>
        </w:rPr>
        <w:t>studying the A-MPR. Secondly, for the requirements right next to the channel bandwidth edge, the baseband waveform assumptions are also meaningful.</w:t>
      </w:r>
    </w:p>
    <w:p w14:paraId="034A1E58" w14:textId="3CCD6627" w:rsidR="00F125EB" w:rsidRDefault="00F125EB" w:rsidP="00B06D31">
      <w:pPr>
        <w:spacing w:after="120"/>
        <w:rPr>
          <w:bCs/>
        </w:rPr>
      </w:pPr>
      <w:r>
        <w:rPr>
          <w:bCs/>
        </w:rPr>
        <w:t xml:space="preserve">In NR side, typically PA calibration point and IQ-impairment levels are commonly agreed to study A-MPR. Similar discussion would be beneficial here. </w:t>
      </w:r>
      <w:r w:rsidR="009123E4">
        <w:rPr>
          <w:bCs/>
        </w:rPr>
        <w:t>While not agreed for NR, here also</w:t>
      </w:r>
      <w:r>
        <w:rPr>
          <w:bCs/>
        </w:rPr>
        <w:t xml:space="preserve"> </w:t>
      </w:r>
      <w:r w:rsidR="009123E4">
        <w:rPr>
          <w:bCs/>
        </w:rPr>
        <w:t xml:space="preserve">the spectral containment of the baseband waveform assumptions would be good to discuss. In principle meeting to NB-IoT general requirements </w:t>
      </w:r>
      <w:r w:rsidR="00146EB1">
        <w:rPr>
          <w:bCs/>
        </w:rPr>
        <w:t>do not need practically any processing to the waveform. Therefore</w:t>
      </w:r>
      <w:r w:rsidR="0057314F">
        <w:rPr>
          <w:bCs/>
        </w:rPr>
        <w:t>,</w:t>
      </w:r>
      <w:r w:rsidR="00146EB1">
        <w:rPr>
          <w:bCs/>
        </w:rPr>
        <w:t xml:space="preserve"> one could consider this should also be the starting point in evaluating the </w:t>
      </w:r>
      <w:r w:rsidR="0057314F">
        <w:rPr>
          <w:bCs/>
        </w:rPr>
        <w:t>additional emissions.</w:t>
      </w:r>
    </w:p>
    <w:p w14:paraId="53F75860" w14:textId="297B15C1" w:rsidR="00C212EB" w:rsidRPr="00C212EB" w:rsidRDefault="00C212EB" w:rsidP="00B06D31">
      <w:pPr>
        <w:spacing w:after="120"/>
        <w:rPr>
          <w:b/>
        </w:rPr>
      </w:pPr>
      <w:r w:rsidRPr="00C212EB">
        <w:rPr>
          <w:b/>
        </w:rPr>
        <w:t xml:space="preserve">Observation </w:t>
      </w:r>
      <w:r w:rsidR="00A74DC5">
        <w:rPr>
          <w:b/>
        </w:rPr>
        <w:t>4</w:t>
      </w:r>
      <w:r w:rsidRPr="00C212EB">
        <w:rPr>
          <w:b/>
        </w:rPr>
        <w:t>: Most likely differences in evaluation assumptions have resulted in large difference in A-MPR need. Common assumptions for NB-IoT A-MPR evaluations have not been agreed.</w:t>
      </w:r>
    </w:p>
    <w:p w14:paraId="34804B42" w14:textId="5A3326D4" w:rsidR="0057314F" w:rsidRDefault="0057314F" w:rsidP="00B06D31">
      <w:pPr>
        <w:spacing w:after="120"/>
        <w:rPr>
          <w:bCs/>
        </w:rPr>
      </w:pPr>
      <w:r>
        <w:rPr>
          <w:bCs/>
        </w:rPr>
        <w:t xml:space="preserve">On the other hand, </w:t>
      </w:r>
      <w:r w:rsidR="004E2EFE">
        <w:rPr>
          <w:bCs/>
        </w:rPr>
        <w:t>this can result in higher A-MPRs in some cases. To reach better alignment for the A-MPR results</w:t>
      </w:r>
      <w:r w:rsidR="00EB163B">
        <w:rPr>
          <w:bCs/>
        </w:rPr>
        <w:t xml:space="preserve"> and avoid discrepancies in the future, it would be useful to align better on the </w:t>
      </w:r>
      <w:r w:rsidR="00055D56">
        <w:rPr>
          <w:bCs/>
        </w:rPr>
        <w:t>study assumptions.</w:t>
      </w:r>
    </w:p>
    <w:p w14:paraId="7E7C09B3" w14:textId="29E72888" w:rsidR="002F1B79" w:rsidRPr="00055D56" w:rsidRDefault="00336A4C" w:rsidP="00445E27">
      <w:pPr>
        <w:spacing w:after="120"/>
        <w:rPr>
          <w:b/>
        </w:rPr>
      </w:pPr>
      <w:r w:rsidRPr="00336A4C">
        <w:rPr>
          <w:b/>
        </w:rPr>
        <w:t>Proposal 3:</w:t>
      </w:r>
      <w:r>
        <w:rPr>
          <w:b/>
        </w:rPr>
        <w:t xml:space="preserve"> Interested companies should align the evaluation assumptions for </w:t>
      </w:r>
      <w:r w:rsidR="00146EB1">
        <w:rPr>
          <w:b/>
        </w:rPr>
        <w:t xml:space="preserve">PA calibration, IQ impairments and </w:t>
      </w:r>
      <w:r w:rsidR="0057314F">
        <w:rPr>
          <w:b/>
        </w:rPr>
        <w:t>spectral containment of the baseband waveform</w:t>
      </w:r>
      <w:r w:rsidR="00C212EB">
        <w:rPr>
          <w:b/>
        </w:rPr>
        <w:t xml:space="preserve"> to be able to </w:t>
      </w:r>
      <w:r w:rsidR="00F96F90">
        <w:rPr>
          <w:b/>
        </w:rPr>
        <w:t>better align the result and be able to complete the band 254 requirements</w:t>
      </w:r>
      <w:r w:rsidR="0057314F">
        <w:rPr>
          <w:b/>
        </w:rPr>
        <w:t>.</w:t>
      </w:r>
    </w:p>
    <w:p w14:paraId="40E74AB1" w14:textId="77777777" w:rsidR="0089653C" w:rsidRPr="00637ECA" w:rsidRDefault="0089653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184DFBE0" w14:textId="3665F48A" w:rsidR="00BA37DD" w:rsidRPr="00FE3CDC" w:rsidRDefault="005F7C8C" w:rsidP="00BF6AF2">
      <w:pPr>
        <w:spacing w:after="120"/>
        <w:jc w:val="both"/>
        <w:rPr>
          <w:b/>
        </w:rPr>
      </w:pPr>
      <w:r w:rsidRPr="00501988">
        <w:rPr>
          <w:lang w:eastAsia="ja-JP"/>
        </w:rPr>
        <w:t xml:space="preserve">In this </w:t>
      </w:r>
      <w:r w:rsidR="003D23A8">
        <w:rPr>
          <w:lang w:eastAsia="ja-JP"/>
        </w:rPr>
        <w:t>contribution co-existence between new NTN S-band and adjacent 3GPP bands</w:t>
      </w:r>
      <w:r w:rsidR="00522FB9">
        <w:rPr>
          <w:lang w:eastAsia="ja-JP"/>
        </w:rPr>
        <w:t xml:space="preserve"> </w:t>
      </w:r>
      <w:r w:rsidR="003D23A8">
        <w:rPr>
          <w:lang w:eastAsia="ja-JP"/>
        </w:rPr>
        <w:t>was</w:t>
      </w:r>
      <w:r w:rsidR="00522FB9">
        <w:rPr>
          <w:lang w:eastAsia="ja-JP"/>
        </w:rPr>
        <w:t xml:space="preserve"> discussed</w:t>
      </w:r>
      <w:r w:rsidR="00EB3836">
        <w:rPr>
          <w:lang w:eastAsia="ja-JP"/>
        </w:rPr>
        <w:t xml:space="preserve">. Following </w:t>
      </w:r>
      <w:r w:rsidR="00B26CCB">
        <w:rPr>
          <w:lang w:eastAsia="ja-JP"/>
        </w:rPr>
        <w:t xml:space="preserve">observations </w:t>
      </w:r>
      <w:r w:rsidR="00EB3836">
        <w:rPr>
          <w:lang w:eastAsia="ja-JP"/>
        </w:rPr>
        <w:t>were made</w:t>
      </w:r>
      <w:r w:rsidR="003D23A8">
        <w:rPr>
          <w:lang w:eastAsia="ja-JP"/>
        </w:rPr>
        <w:t>.</w:t>
      </w:r>
      <w:r w:rsidR="00BA37DD" w:rsidRPr="0031163F">
        <w:rPr>
          <w:b/>
        </w:rPr>
        <w:t xml:space="preserve"> </w:t>
      </w:r>
    </w:p>
    <w:p w14:paraId="48CCE49B" w14:textId="77777777" w:rsidR="00055D56" w:rsidRDefault="00055D56" w:rsidP="00055D56">
      <w:pPr>
        <w:spacing w:after="120"/>
        <w:rPr>
          <w:b/>
        </w:rPr>
      </w:pPr>
      <w:r w:rsidRPr="00886866">
        <w:rPr>
          <w:b/>
        </w:rPr>
        <w:t>Observation 1:</w:t>
      </w:r>
      <w:r>
        <w:rPr>
          <w:b/>
        </w:rPr>
        <w:t xml:space="preserve"> Leaving TBDs for the NS_04N and NS_05N has been intentional. </w:t>
      </w:r>
    </w:p>
    <w:p w14:paraId="776AE2F9" w14:textId="77777777" w:rsidR="00055D56" w:rsidRDefault="00055D56" w:rsidP="00055D56">
      <w:pPr>
        <w:spacing w:after="120"/>
        <w:rPr>
          <w:b/>
        </w:rPr>
      </w:pPr>
      <w:r>
        <w:rPr>
          <w:b/>
        </w:rPr>
        <w:lastRenderedPageBreak/>
        <w:t>Proposal 1: 3GPP to start incorporating ETSI requirements for all NTN bands. In case ETSI does not in the end include these requirements to harmonized standard, they can be removed.</w:t>
      </w:r>
    </w:p>
    <w:p w14:paraId="5D610FEB" w14:textId="77777777" w:rsidR="00055D56" w:rsidRPr="00B948E5" w:rsidRDefault="00055D56" w:rsidP="00055D56">
      <w:pPr>
        <w:spacing w:after="120"/>
        <w:rPr>
          <w:b/>
        </w:rPr>
      </w:pPr>
      <w:r w:rsidRPr="00B948E5">
        <w:rPr>
          <w:b/>
        </w:rPr>
        <w:t>Proposal 2:</w:t>
      </w:r>
      <w:r>
        <w:rPr>
          <w:b/>
        </w:rPr>
        <w:t xml:space="preserve"> Consider introducing the transmit power density requirement from EN 301 441 for band 254. Further clarify relationship between A-MPR and this power density requirement.</w:t>
      </w:r>
    </w:p>
    <w:p w14:paraId="66FA5EAB" w14:textId="77777777" w:rsidR="00055D56" w:rsidRDefault="00055D56" w:rsidP="00055D56">
      <w:pPr>
        <w:spacing w:after="120"/>
        <w:rPr>
          <w:b/>
        </w:rPr>
      </w:pPr>
      <w:r>
        <w:rPr>
          <w:b/>
        </w:rPr>
        <w:t>Observation 2: A-MPR proposals in [2] and [3] do not consider results provided in [4]</w:t>
      </w:r>
    </w:p>
    <w:p w14:paraId="5F6D2297" w14:textId="77777777" w:rsidR="006107E4" w:rsidRPr="006107E4" w:rsidRDefault="006107E4" w:rsidP="006107E4">
      <w:pPr>
        <w:spacing w:after="120"/>
        <w:rPr>
          <w:b/>
        </w:rPr>
      </w:pPr>
      <w:r w:rsidRPr="006107E4">
        <w:rPr>
          <w:b/>
        </w:rPr>
        <w:t>Observation 3: Evaluations for 3.75 kHz single-tone transmission have not been done.</w:t>
      </w:r>
    </w:p>
    <w:p w14:paraId="0E033C38" w14:textId="775013AF" w:rsidR="00A74DC5" w:rsidRDefault="00A74DC5" w:rsidP="00055D56">
      <w:pPr>
        <w:spacing w:after="120"/>
        <w:rPr>
          <w:b/>
        </w:rPr>
      </w:pPr>
      <w:r w:rsidRPr="00C212EB">
        <w:rPr>
          <w:b/>
        </w:rPr>
        <w:t xml:space="preserve">Observation </w:t>
      </w:r>
      <w:r>
        <w:rPr>
          <w:b/>
        </w:rPr>
        <w:t>4</w:t>
      </w:r>
      <w:r w:rsidRPr="00C212EB">
        <w:rPr>
          <w:b/>
        </w:rPr>
        <w:t>: Most likely differences in evaluation assumptions have resulted in large difference in A-MPR need. Common assumptions for NB-IoT A-MPR evaluations have not been agreed.</w:t>
      </w:r>
    </w:p>
    <w:p w14:paraId="72E02B09" w14:textId="77777777" w:rsidR="00F96F90" w:rsidRPr="00055D56" w:rsidRDefault="00F96F90" w:rsidP="00F96F90">
      <w:pPr>
        <w:spacing w:after="120"/>
        <w:rPr>
          <w:b/>
        </w:rPr>
      </w:pPr>
      <w:r w:rsidRPr="00336A4C">
        <w:rPr>
          <w:b/>
        </w:rPr>
        <w:t>Proposal 3:</w:t>
      </w:r>
      <w:r>
        <w:rPr>
          <w:b/>
        </w:rPr>
        <w:t xml:space="preserve"> Interested companies should align the evaluation assumptions for PA calibration, IQ impairments and spectral containment of the baseband waveform to be able to better align the result and be able to complete the band 254 requirements.</w:t>
      </w:r>
    </w:p>
    <w:p w14:paraId="6571B7C6" w14:textId="77777777" w:rsidR="003D23A8" w:rsidRPr="00E12796" w:rsidRDefault="003D23A8" w:rsidP="003D23A8">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BC32A4B" w14:textId="21F4826F" w:rsidR="00093461" w:rsidRDefault="004302D2" w:rsidP="008C1479">
      <w:pPr>
        <w:widowControl w:val="0"/>
        <w:numPr>
          <w:ilvl w:val="0"/>
          <w:numId w:val="3"/>
        </w:numPr>
        <w:overflowPunct w:val="0"/>
        <w:autoSpaceDE w:val="0"/>
        <w:autoSpaceDN w:val="0"/>
        <w:adjustRightInd w:val="0"/>
        <w:spacing w:before="120" w:after="120"/>
        <w:jc w:val="both"/>
        <w:textAlignment w:val="baseline"/>
      </w:pPr>
      <w:r>
        <w:t>R4-2321817, WF on new FDD band (L+S band) for IoT NTN</w:t>
      </w:r>
      <w:r w:rsidR="00E32F2F">
        <w:t>, MediaTek Inc.</w:t>
      </w:r>
      <w:r>
        <w:t xml:space="preserve"> </w:t>
      </w:r>
    </w:p>
    <w:p w14:paraId="39D5A8D2" w14:textId="0D54A10B" w:rsidR="0062006B" w:rsidRDefault="00480FDC" w:rsidP="008C1479">
      <w:pPr>
        <w:widowControl w:val="0"/>
        <w:numPr>
          <w:ilvl w:val="0"/>
          <w:numId w:val="3"/>
        </w:numPr>
        <w:overflowPunct w:val="0"/>
        <w:autoSpaceDE w:val="0"/>
        <w:autoSpaceDN w:val="0"/>
        <w:adjustRightInd w:val="0"/>
        <w:spacing w:before="120" w:after="120"/>
        <w:jc w:val="both"/>
        <w:textAlignment w:val="baseline"/>
      </w:pPr>
      <w:r>
        <w:t xml:space="preserve">R4-2411543, </w:t>
      </w:r>
      <w:r w:rsidRPr="00480FDC">
        <w:t>(</w:t>
      </w:r>
      <w:proofErr w:type="spellStart"/>
      <w:r w:rsidRPr="00480FDC">
        <w:t>IoT_NTN_FDD_LS_band</w:t>
      </w:r>
      <w:proofErr w:type="spellEnd"/>
      <w:r w:rsidRPr="00480FDC">
        <w:t xml:space="preserve">) </w:t>
      </w:r>
      <w:r w:rsidR="006107E4">
        <w:fldChar w:fldCharType="begin"/>
      </w:r>
      <w:r w:rsidR="006107E4">
        <w:instrText xml:space="preserve"> DOCPROPERTY  CrTitle  \* MERGEFORMAT </w:instrText>
      </w:r>
      <w:r w:rsidR="006107E4">
        <w:fldChar w:fldCharType="separate"/>
      </w:r>
      <w:r w:rsidRPr="00480FDC">
        <w:t>CR to 36.102 for IoT-NTN UE RF Multi-tones A-MPR requirements</w:t>
      </w:r>
      <w:r w:rsidR="006107E4">
        <w:fldChar w:fldCharType="end"/>
      </w:r>
      <w:r w:rsidRPr="00480FDC">
        <w:t xml:space="preserve"> (Rel-18)</w:t>
      </w:r>
      <w:r>
        <w:t>, MediaTek Inc.</w:t>
      </w:r>
    </w:p>
    <w:p w14:paraId="207EE148" w14:textId="1892B2AA" w:rsidR="00480FDC" w:rsidRDefault="00024677" w:rsidP="008C1479">
      <w:pPr>
        <w:widowControl w:val="0"/>
        <w:numPr>
          <w:ilvl w:val="0"/>
          <w:numId w:val="3"/>
        </w:numPr>
        <w:overflowPunct w:val="0"/>
        <w:autoSpaceDE w:val="0"/>
        <w:autoSpaceDN w:val="0"/>
        <w:adjustRightInd w:val="0"/>
        <w:spacing w:before="120" w:after="120"/>
        <w:jc w:val="both"/>
        <w:textAlignment w:val="baseline"/>
      </w:pPr>
      <w:r w:rsidRPr="00024677">
        <w:t>R4-2411544</w:t>
      </w:r>
      <w:r>
        <w:t xml:space="preserve">, </w:t>
      </w:r>
      <w:r w:rsidR="00CF2C81" w:rsidRPr="00CF2C81">
        <w:t>(</w:t>
      </w:r>
      <w:proofErr w:type="spellStart"/>
      <w:r w:rsidR="00CF2C81" w:rsidRPr="00CF2C81">
        <w:t>IoT_NTN_FDD_LS_band</w:t>
      </w:r>
      <w:proofErr w:type="spellEnd"/>
      <w:r w:rsidR="00CF2C81" w:rsidRPr="00CF2C81">
        <w:t xml:space="preserve">) </w:t>
      </w:r>
      <w:r w:rsidR="006107E4">
        <w:fldChar w:fldCharType="begin"/>
      </w:r>
      <w:r w:rsidR="006107E4">
        <w:instrText xml:space="preserve"> DOCPROPERTY  CrTitle  \* MERGEFORMAT </w:instrText>
      </w:r>
      <w:r w:rsidR="006107E4">
        <w:fldChar w:fldCharType="separate"/>
      </w:r>
      <w:r w:rsidR="00CF2C81" w:rsidRPr="00CF2C81">
        <w:t>CR to 36.102 for IoT-NTN UE RF 1-tone A-MPR requirements</w:t>
      </w:r>
      <w:r w:rsidR="006107E4">
        <w:fldChar w:fldCharType="end"/>
      </w:r>
      <w:r w:rsidR="00CF2C81" w:rsidRPr="00CF2C81">
        <w:t xml:space="preserve"> (Rel-18)</w:t>
      </w:r>
    </w:p>
    <w:p w14:paraId="1C1228F4" w14:textId="6A9CBD72" w:rsidR="00E57608" w:rsidRPr="00FD41A6" w:rsidRDefault="00E57608" w:rsidP="008C1479">
      <w:pPr>
        <w:widowControl w:val="0"/>
        <w:numPr>
          <w:ilvl w:val="0"/>
          <w:numId w:val="3"/>
        </w:numPr>
        <w:overflowPunct w:val="0"/>
        <w:autoSpaceDE w:val="0"/>
        <w:autoSpaceDN w:val="0"/>
        <w:adjustRightInd w:val="0"/>
        <w:spacing w:before="120" w:after="120"/>
        <w:jc w:val="both"/>
        <w:textAlignment w:val="baseline"/>
        <w:rPr>
          <w:lang w:val="en-US"/>
        </w:rPr>
      </w:pPr>
      <w:r w:rsidRPr="00FD41A6">
        <w:rPr>
          <w:lang w:val="en-US"/>
        </w:rPr>
        <w:t>R4-2321798, Analysis on ETSI emissio</w:t>
      </w:r>
      <w:r w:rsidR="00FD41A6" w:rsidRPr="00FD41A6">
        <w:rPr>
          <w:lang w:val="en-US"/>
        </w:rPr>
        <w:t>n requireme</w:t>
      </w:r>
      <w:r w:rsidR="00FD41A6">
        <w:rPr>
          <w:lang w:val="en-US"/>
        </w:rPr>
        <w:t>nt for NB-IoT in IoT NTN band b254, Sony</w:t>
      </w:r>
    </w:p>
    <w:sectPr w:rsidR="00E57608" w:rsidRPr="00FD41A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0E39F" w14:textId="77777777" w:rsidR="00A921A1" w:rsidRDefault="00A921A1">
      <w:r>
        <w:separator/>
      </w:r>
    </w:p>
  </w:endnote>
  <w:endnote w:type="continuationSeparator" w:id="0">
    <w:p w14:paraId="4E05D222" w14:textId="77777777" w:rsidR="00A921A1" w:rsidRDefault="00A921A1">
      <w:r>
        <w:continuationSeparator/>
      </w:r>
    </w:p>
  </w:endnote>
  <w:endnote w:type="continuationNotice" w:id="1">
    <w:p w14:paraId="5879E5F4" w14:textId="77777777" w:rsidR="00A921A1" w:rsidRDefault="00A92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FC22E" w14:textId="77777777" w:rsidR="00A921A1" w:rsidRDefault="00A921A1">
      <w:r>
        <w:separator/>
      </w:r>
    </w:p>
  </w:footnote>
  <w:footnote w:type="continuationSeparator" w:id="0">
    <w:p w14:paraId="5FEB8B35" w14:textId="77777777" w:rsidR="00A921A1" w:rsidRDefault="00A921A1">
      <w:r>
        <w:continuationSeparator/>
      </w:r>
    </w:p>
  </w:footnote>
  <w:footnote w:type="continuationNotice" w:id="1">
    <w:p w14:paraId="76294007" w14:textId="77777777" w:rsidR="00A921A1" w:rsidRDefault="00A921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0"/>
  </w:num>
  <w:num w:numId="2" w16cid:durableId="1813211327">
    <w:abstractNumId w:val="6"/>
  </w:num>
  <w:num w:numId="3" w16cid:durableId="56514189">
    <w:abstractNumId w:val="1"/>
  </w:num>
  <w:num w:numId="4" w16cid:durableId="343019769">
    <w:abstractNumId w:val="5"/>
  </w:num>
  <w:num w:numId="5" w16cid:durableId="1274551697">
    <w:abstractNumId w:val="11"/>
  </w:num>
  <w:num w:numId="6" w16cid:durableId="747773055">
    <w:abstractNumId w:val="12"/>
  </w:num>
  <w:num w:numId="7" w16cid:durableId="1909345482">
    <w:abstractNumId w:val="2"/>
  </w:num>
  <w:num w:numId="8" w16cid:durableId="1735469130">
    <w:abstractNumId w:val="9"/>
  </w:num>
  <w:num w:numId="9" w16cid:durableId="1104688605">
    <w:abstractNumId w:val="0"/>
  </w:num>
  <w:num w:numId="10" w16cid:durableId="422452873">
    <w:abstractNumId w:val="3"/>
  </w:num>
  <w:num w:numId="11" w16cid:durableId="1490246687">
    <w:abstractNumId w:val="8"/>
  </w:num>
  <w:num w:numId="12" w16cid:durableId="1700735713">
    <w:abstractNumId w:val="4"/>
  </w:num>
  <w:num w:numId="13" w16cid:durableId="174773001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677"/>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575"/>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0629"/>
    <w:rsid w:val="0005160F"/>
    <w:rsid w:val="00051B7E"/>
    <w:rsid w:val="00051B95"/>
    <w:rsid w:val="00052040"/>
    <w:rsid w:val="00052815"/>
    <w:rsid w:val="00052DF6"/>
    <w:rsid w:val="00053B76"/>
    <w:rsid w:val="00055D5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B31"/>
    <w:rsid w:val="000838C9"/>
    <w:rsid w:val="00083AC5"/>
    <w:rsid w:val="00083CE4"/>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15F"/>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46E"/>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AB3"/>
    <w:rsid w:val="000E4B99"/>
    <w:rsid w:val="000E4D27"/>
    <w:rsid w:val="000E4EC8"/>
    <w:rsid w:val="000E50AC"/>
    <w:rsid w:val="000E535E"/>
    <w:rsid w:val="000E539A"/>
    <w:rsid w:val="000E7864"/>
    <w:rsid w:val="000E7ED4"/>
    <w:rsid w:val="000E7F53"/>
    <w:rsid w:val="000F0DFF"/>
    <w:rsid w:val="000F12DB"/>
    <w:rsid w:val="000F1688"/>
    <w:rsid w:val="000F17F0"/>
    <w:rsid w:val="000F1968"/>
    <w:rsid w:val="000F1996"/>
    <w:rsid w:val="000F3D65"/>
    <w:rsid w:val="000F45A3"/>
    <w:rsid w:val="000F5079"/>
    <w:rsid w:val="000F51EF"/>
    <w:rsid w:val="000F7A1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0C6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3F8"/>
    <w:rsid w:val="0014190B"/>
    <w:rsid w:val="00144D51"/>
    <w:rsid w:val="00145D31"/>
    <w:rsid w:val="00146EB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071"/>
    <w:rsid w:val="00184921"/>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A5FB5"/>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E58"/>
    <w:rsid w:val="001D3F6C"/>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022"/>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C94"/>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D95"/>
    <w:rsid w:val="002B3FAC"/>
    <w:rsid w:val="002B439E"/>
    <w:rsid w:val="002B626B"/>
    <w:rsid w:val="002B6DBF"/>
    <w:rsid w:val="002B6E26"/>
    <w:rsid w:val="002B717A"/>
    <w:rsid w:val="002B76C1"/>
    <w:rsid w:val="002B7766"/>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C6C86"/>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488"/>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163F"/>
    <w:rsid w:val="00311E01"/>
    <w:rsid w:val="0031278A"/>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4F3"/>
    <w:rsid w:val="00335586"/>
    <w:rsid w:val="00335D3C"/>
    <w:rsid w:val="00336344"/>
    <w:rsid w:val="003365BE"/>
    <w:rsid w:val="00336A4C"/>
    <w:rsid w:val="00336E19"/>
    <w:rsid w:val="00336EED"/>
    <w:rsid w:val="00336FCA"/>
    <w:rsid w:val="003373C1"/>
    <w:rsid w:val="003379C7"/>
    <w:rsid w:val="00337CF7"/>
    <w:rsid w:val="00337F3A"/>
    <w:rsid w:val="00340405"/>
    <w:rsid w:val="00340D3E"/>
    <w:rsid w:val="003421D3"/>
    <w:rsid w:val="00343270"/>
    <w:rsid w:val="0034366D"/>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533D"/>
    <w:rsid w:val="003662A0"/>
    <w:rsid w:val="003664CA"/>
    <w:rsid w:val="003669F0"/>
    <w:rsid w:val="003679E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7AB"/>
    <w:rsid w:val="003B0BFF"/>
    <w:rsid w:val="003B1D66"/>
    <w:rsid w:val="003B3833"/>
    <w:rsid w:val="003B3E5C"/>
    <w:rsid w:val="003B46AC"/>
    <w:rsid w:val="003B4A0F"/>
    <w:rsid w:val="003B4F59"/>
    <w:rsid w:val="003B54F3"/>
    <w:rsid w:val="003B5E82"/>
    <w:rsid w:val="003B7376"/>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397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3C5B"/>
    <w:rsid w:val="0040407D"/>
    <w:rsid w:val="00404616"/>
    <w:rsid w:val="00404E22"/>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2D2"/>
    <w:rsid w:val="00430517"/>
    <w:rsid w:val="00430C3C"/>
    <w:rsid w:val="00430EB8"/>
    <w:rsid w:val="0043167F"/>
    <w:rsid w:val="004319CF"/>
    <w:rsid w:val="00432327"/>
    <w:rsid w:val="0043243C"/>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0FDC"/>
    <w:rsid w:val="00483E69"/>
    <w:rsid w:val="00483F1C"/>
    <w:rsid w:val="004843C1"/>
    <w:rsid w:val="004843C6"/>
    <w:rsid w:val="00484626"/>
    <w:rsid w:val="00484710"/>
    <w:rsid w:val="004857DF"/>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038"/>
    <w:rsid w:val="004B561B"/>
    <w:rsid w:val="004B5834"/>
    <w:rsid w:val="004B5E77"/>
    <w:rsid w:val="004B6EAB"/>
    <w:rsid w:val="004B709F"/>
    <w:rsid w:val="004B70E7"/>
    <w:rsid w:val="004C2111"/>
    <w:rsid w:val="004C2AC8"/>
    <w:rsid w:val="004C3547"/>
    <w:rsid w:val="004C3922"/>
    <w:rsid w:val="004C3EA4"/>
    <w:rsid w:val="004C3EE9"/>
    <w:rsid w:val="004C48F8"/>
    <w:rsid w:val="004C4BB9"/>
    <w:rsid w:val="004C527E"/>
    <w:rsid w:val="004C5AA0"/>
    <w:rsid w:val="004C65A1"/>
    <w:rsid w:val="004C6B62"/>
    <w:rsid w:val="004C71B2"/>
    <w:rsid w:val="004C7681"/>
    <w:rsid w:val="004C7DC4"/>
    <w:rsid w:val="004D1968"/>
    <w:rsid w:val="004D1B03"/>
    <w:rsid w:val="004D268C"/>
    <w:rsid w:val="004D2730"/>
    <w:rsid w:val="004D3172"/>
    <w:rsid w:val="004D3391"/>
    <w:rsid w:val="004D4007"/>
    <w:rsid w:val="004D4636"/>
    <w:rsid w:val="004D4728"/>
    <w:rsid w:val="004D5327"/>
    <w:rsid w:val="004D76E9"/>
    <w:rsid w:val="004D7FAD"/>
    <w:rsid w:val="004E0255"/>
    <w:rsid w:val="004E16F3"/>
    <w:rsid w:val="004E187E"/>
    <w:rsid w:val="004E18E2"/>
    <w:rsid w:val="004E1E48"/>
    <w:rsid w:val="004E21D1"/>
    <w:rsid w:val="004E29F0"/>
    <w:rsid w:val="004E2EFE"/>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AA"/>
    <w:rsid w:val="00532631"/>
    <w:rsid w:val="005329AC"/>
    <w:rsid w:val="00532B8C"/>
    <w:rsid w:val="00534081"/>
    <w:rsid w:val="005342E1"/>
    <w:rsid w:val="00534782"/>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3A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20CB"/>
    <w:rsid w:val="00572438"/>
    <w:rsid w:val="005724B0"/>
    <w:rsid w:val="00572FA7"/>
    <w:rsid w:val="00572FCA"/>
    <w:rsid w:val="0057314F"/>
    <w:rsid w:val="005732FC"/>
    <w:rsid w:val="00573928"/>
    <w:rsid w:val="00573D04"/>
    <w:rsid w:val="00573FB2"/>
    <w:rsid w:val="005748F2"/>
    <w:rsid w:val="00574E78"/>
    <w:rsid w:val="005754A9"/>
    <w:rsid w:val="00575E94"/>
    <w:rsid w:val="00576586"/>
    <w:rsid w:val="00576781"/>
    <w:rsid w:val="00577194"/>
    <w:rsid w:val="005771DF"/>
    <w:rsid w:val="0057724A"/>
    <w:rsid w:val="00580944"/>
    <w:rsid w:val="00580B10"/>
    <w:rsid w:val="0058146B"/>
    <w:rsid w:val="00581AB3"/>
    <w:rsid w:val="0058246E"/>
    <w:rsid w:val="00582A98"/>
    <w:rsid w:val="00582F5F"/>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942"/>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5AA"/>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585F"/>
    <w:rsid w:val="00605D93"/>
    <w:rsid w:val="006069F6"/>
    <w:rsid w:val="00606F43"/>
    <w:rsid w:val="0060779D"/>
    <w:rsid w:val="006078B4"/>
    <w:rsid w:val="006100A5"/>
    <w:rsid w:val="006107E4"/>
    <w:rsid w:val="006110CF"/>
    <w:rsid w:val="00611A03"/>
    <w:rsid w:val="00611E86"/>
    <w:rsid w:val="0061276E"/>
    <w:rsid w:val="00612C93"/>
    <w:rsid w:val="0061380A"/>
    <w:rsid w:val="00614748"/>
    <w:rsid w:val="00614792"/>
    <w:rsid w:val="0061537D"/>
    <w:rsid w:val="00615D41"/>
    <w:rsid w:val="00616283"/>
    <w:rsid w:val="00616794"/>
    <w:rsid w:val="0062006B"/>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610"/>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18A"/>
    <w:rsid w:val="0069044E"/>
    <w:rsid w:val="00690756"/>
    <w:rsid w:val="0069161D"/>
    <w:rsid w:val="00691BB7"/>
    <w:rsid w:val="006928F4"/>
    <w:rsid w:val="00692A36"/>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59E6"/>
    <w:rsid w:val="006E6033"/>
    <w:rsid w:val="006E618F"/>
    <w:rsid w:val="006E6903"/>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26D"/>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0B38"/>
    <w:rsid w:val="007D1883"/>
    <w:rsid w:val="007D1A8B"/>
    <w:rsid w:val="007D2A18"/>
    <w:rsid w:val="007D2CEF"/>
    <w:rsid w:val="007D4396"/>
    <w:rsid w:val="007D4C0B"/>
    <w:rsid w:val="007D511C"/>
    <w:rsid w:val="007D68F3"/>
    <w:rsid w:val="007D6FE1"/>
    <w:rsid w:val="007D74AD"/>
    <w:rsid w:val="007D7645"/>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521"/>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866"/>
    <w:rsid w:val="00886B14"/>
    <w:rsid w:val="0088702C"/>
    <w:rsid w:val="008878CF"/>
    <w:rsid w:val="00887A55"/>
    <w:rsid w:val="00890588"/>
    <w:rsid w:val="0089069C"/>
    <w:rsid w:val="00892307"/>
    <w:rsid w:val="008927C6"/>
    <w:rsid w:val="0089311C"/>
    <w:rsid w:val="00893E02"/>
    <w:rsid w:val="00893E1D"/>
    <w:rsid w:val="00894154"/>
    <w:rsid w:val="008946C0"/>
    <w:rsid w:val="00895B37"/>
    <w:rsid w:val="0089636B"/>
    <w:rsid w:val="0089653C"/>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3038"/>
    <w:rsid w:val="008B4755"/>
    <w:rsid w:val="008B6D86"/>
    <w:rsid w:val="008B7129"/>
    <w:rsid w:val="008B7C40"/>
    <w:rsid w:val="008C051C"/>
    <w:rsid w:val="008C0EB0"/>
    <w:rsid w:val="008C1117"/>
    <w:rsid w:val="008C1292"/>
    <w:rsid w:val="008C1479"/>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4AE7"/>
    <w:rsid w:val="008F51B3"/>
    <w:rsid w:val="008F5246"/>
    <w:rsid w:val="008F5A1B"/>
    <w:rsid w:val="008F5A4F"/>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3E4"/>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2C4"/>
    <w:rsid w:val="0097458F"/>
    <w:rsid w:val="0097466B"/>
    <w:rsid w:val="00974ECD"/>
    <w:rsid w:val="00975099"/>
    <w:rsid w:val="00975D27"/>
    <w:rsid w:val="009766D9"/>
    <w:rsid w:val="00976BBA"/>
    <w:rsid w:val="00977315"/>
    <w:rsid w:val="00977502"/>
    <w:rsid w:val="009778BA"/>
    <w:rsid w:val="00977CE0"/>
    <w:rsid w:val="00977DFF"/>
    <w:rsid w:val="00977E35"/>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33D8"/>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4DC5"/>
    <w:rsid w:val="00A75259"/>
    <w:rsid w:val="00A75A81"/>
    <w:rsid w:val="00A7661A"/>
    <w:rsid w:val="00A768E4"/>
    <w:rsid w:val="00A76BFC"/>
    <w:rsid w:val="00A76C99"/>
    <w:rsid w:val="00A76CAB"/>
    <w:rsid w:val="00A76DE8"/>
    <w:rsid w:val="00A77717"/>
    <w:rsid w:val="00A80046"/>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138"/>
    <w:rsid w:val="00A921A1"/>
    <w:rsid w:val="00A925BA"/>
    <w:rsid w:val="00A9262B"/>
    <w:rsid w:val="00A93169"/>
    <w:rsid w:val="00A93925"/>
    <w:rsid w:val="00A939B4"/>
    <w:rsid w:val="00A93B14"/>
    <w:rsid w:val="00A93D71"/>
    <w:rsid w:val="00A9403E"/>
    <w:rsid w:val="00A95877"/>
    <w:rsid w:val="00A95C58"/>
    <w:rsid w:val="00A95C7E"/>
    <w:rsid w:val="00A96416"/>
    <w:rsid w:val="00A97473"/>
    <w:rsid w:val="00AA0815"/>
    <w:rsid w:val="00AA0D32"/>
    <w:rsid w:val="00AA0F64"/>
    <w:rsid w:val="00AA1356"/>
    <w:rsid w:val="00AA1FFE"/>
    <w:rsid w:val="00AA22B8"/>
    <w:rsid w:val="00AA305A"/>
    <w:rsid w:val="00AA43ED"/>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13"/>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6D31"/>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2607"/>
    <w:rsid w:val="00B326E9"/>
    <w:rsid w:val="00B3403D"/>
    <w:rsid w:val="00B34460"/>
    <w:rsid w:val="00B3456E"/>
    <w:rsid w:val="00B34585"/>
    <w:rsid w:val="00B347A0"/>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98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48E5"/>
    <w:rsid w:val="00B95024"/>
    <w:rsid w:val="00B95502"/>
    <w:rsid w:val="00B9650C"/>
    <w:rsid w:val="00B96825"/>
    <w:rsid w:val="00B96A11"/>
    <w:rsid w:val="00B96CF3"/>
    <w:rsid w:val="00B96D4E"/>
    <w:rsid w:val="00B97935"/>
    <w:rsid w:val="00B97971"/>
    <w:rsid w:val="00BA034E"/>
    <w:rsid w:val="00BA0575"/>
    <w:rsid w:val="00BA0BE3"/>
    <w:rsid w:val="00BA0C35"/>
    <w:rsid w:val="00BA10C5"/>
    <w:rsid w:val="00BA183B"/>
    <w:rsid w:val="00BA209F"/>
    <w:rsid w:val="00BA2B45"/>
    <w:rsid w:val="00BA37DD"/>
    <w:rsid w:val="00BA38D1"/>
    <w:rsid w:val="00BA39AA"/>
    <w:rsid w:val="00BA3DEB"/>
    <w:rsid w:val="00BA3EA2"/>
    <w:rsid w:val="00BA4528"/>
    <w:rsid w:val="00BA595C"/>
    <w:rsid w:val="00BA5E01"/>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B4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5F"/>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D19"/>
    <w:rsid w:val="00BF5D90"/>
    <w:rsid w:val="00BF5FBA"/>
    <w:rsid w:val="00BF61F4"/>
    <w:rsid w:val="00BF636C"/>
    <w:rsid w:val="00BF6AF2"/>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2EB"/>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8FB"/>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1B1"/>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C2"/>
    <w:rsid w:val="00C8218A"/>
    <w:rsid w:val="00C82AAD"/>
    <w:rsid w:val="00C83160"/>
    <w:rsid w:val="00C831EC"/>
    <w:rsid w:val="00C845FE"/>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87"/>
    <w:rsid w:val="00CA3AD9"/>
    <w:rsid w:val="00CA3E53"/>
    <w:rsid w:val="00CA5004"/>
    <w:rsid w:val="00CA541E"/>
    <w:rsid w:val="00CA573F"/>
    <w:rsid w:val="00CA5B49"/>
    <w:rsid w:val="00CA6EB7"/>
    <w:rsid w:val="00CB0403"/>
    <w:rsid w:val="00CB070A"/>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2C81"/>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C8C"/>
    <w:rsid w:val="00D03F3D"/>
    <w:rsid w:val="00D04615"/>
    <w:rsid w:val="00D0475C"/>
    <w:rsid w:val="00D04BF6"/>
    <w:rsid w:val="00D06227"/>
    <w:rsid w:val="00D073FD"/>
    <w:rsid w:val="00D07854"/>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1285"/>
    <w:rsid w:val="00D72567"/>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111A"/>
    <w:rsid w:val="00DA36B8"/>
    <w:rsid w:val="00DA3F57"/>
    <w:rsid w:val="00DA542D"/>
    <w:rsid w:val="00DA5AD6"/>
    <w:rsid w:val="00DA5D3C"/>
    <w:rsid w:val="00DA60B9"/>
    <w:rsid w:val="00DA646B"/>
    <w:rsid w:val="00DA71A6"/>
    <w:rsid w:val="00DB0099"/>
    <w:rsid w:val="00DB00D9"/>
    <w:rsid w:val="00DB017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7BC"/>
    <w:rsid w:val="00E32F2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57608"/>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5CA6"/>
    <w:rsid w:val="00E9627F"/>
    <w:rsid w:val="00E96AF8"/>
    <w:rsid w:val="00E97403"/>
    <w:rsid w:val="00EA0122"/>
    <w:rsid w:val="00EA0143"/>
    <w:rsid w:val="00EA05C8"/>
    <w:rsid w:val="00EA0DD8"/>
    <w:rsid w:val="00EA1C2D"/>
    <w:rsid w:val="00EA204D"/>
    <w:rsid w:val="00EA225B"/>
    <w:rsid w:val="00EA33EE"/>
    <w:rsid w:val="00EA48C8"/>
    <w:rsid w:val="00EA4E3E"/>
    <w:rsid w:val="00EA599C"/>
    <w:rsid w:val="00EA5F50"/>
    <w:rsid w:val="00EA750F"/>
    <w:rsid w:val="00EA7730"/>
    <w:rsid w:val="00EA792F"/>
    <w:rsid w:val="00EA79C0"/>
    <w:rsid w:val="00EA7BFB"/>
    <w:rsid w:val="00EB01C0"/>
    <w:rsid w:val="00EB1146"/>
    <w:rsid w:val="00EB12DA"/>
    <w:rsid w:val="00EB1628"/>
    <w:rsid w:val="00EB163B"/>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09C9"/>
    <w:rsid w:val="00EC1271"/>
    <w:rsid w:val="00EC14D8"/>
    <w:rsid w:val="00EC16E3"/>
    <w:rsid w:val="00EC170A"/>
    <w:rsid w:val="00EC2001"/>
    <w:rsid w:val="00EC28E4"/>
    <w:rsid w:val="00EC2E20"/>
    <w:rsid w:val="00EC35FB"/>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B84"/>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A4F"/>
    <w:rsid w:val="00F05D58"/>
    <w:rsid w:val="00F05E1E"/>
    <w:rsid w:val="00F05EB0"/>
    <w:rsid w:val="00F0626A"/>
    <w:rsid w:val="00F062AE"/>
    <w:rsid w:val="00F063FC"/>
    <w:rsid w:val="00F0724C"/>
    <w:rsid w:val="00F073CE"/>
    <w:rsid w:val="00F074D2"/>
    <w:rsid w:val="00F100EE"/>
    <w:rsid w:val="00F11559"/>
    <w:rsid w:val="00F11B50"/>
    <w:rsid w:val="00F11CCA"/>
    <w:rsid w:val="00F1207E"/>
    <w:rsid w:val="00F125EB"/>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67D7F"/>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38AC"/>
    <w:rsid w:val="00F93A8E"/>
    <w:rsid w:val="00F93B6A"/>
    <w:rsid w:val="00F94F54"/>
    <w:rsid w:val="00F955FA"/>
    <w:rsid w:val="00F95F3B"/>
    <w:rsid w:val="00F9655F"/>
    <w:rsid w:val="00F9681F"/>
    <w:rsid w:val="00F96F90"/>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14F6"/>
    <w:rsid w:val="00FD1A62"/>
    <w:rsid w:val="00FD1E57"/>
    <w:rsid w:val="00FD2533"/>
    <w:rsid w:val="00FD3291"/>
    <w:rsid w:val="00FD35A9"/>
    <w:rsid w:val="00FD3DDE"/>
    <w:rsid w:val="00FD3DEE"/>
    <w:rsid w:val="00FD41A6"/>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21.png@01DA1558.92F81C50"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94</TotalTime>
  <Pages>4</Pages>
  <Words>1127</Words>
  <Characters>5949</Characters>
  <Application>Microsoft Office Word</Application>
  <DocSecurity>0</DocSecurity>
  <Lines>49</Lines>
  <Paragraphs>14</Paragraphs>
  <ScaleCrop>false</ScaleCrop>
  <Company>NEC Group</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78</cp:revision>
  <cp:lastPrinted>2012-09-28T09:55:00Z</cp:lastPrinted>
  <dcterms:created xsi:type="dcterms:W3CDTF">2024-11-07T17:26:00Z</dcterms:created>
  <dcterms:modified xsi:type="dcterms:W3CDTF">2024-11-08T18:21:00Z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